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GOVIND NATIONAL COLLEGE, NARANGWAL (LUDHIANA)</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25" w:lineRule="auto"/>
        <w:rPr>
          <w:b w:val="1"/>
          <w:bCs w:val="1"/>
        </w:rPr>
      </w:pPr>
      <w:r w:rsidDel="00000000" w:rsidR="00000000" w:rsidRPr="00000000">
        <w:rPr>
          <w:b w:val="1"/>
          <w:bCs w:val="1"/>
          <w:rtl w:val="0"/>
        </w:rPr>
        <w:t xml:space="preserve">OFFICE OF THE PRINCIPAL &amp; BURSAR</w:t>
      </w:r>
    </w:p>
    <w:p w:rsidR="00000000" w:rsidDel="00000000" w:rsidP="00000000" w:rsidRDefault="00000000" w:rsidRPr="00000000" w14:paraId="00000003">
      <w:pPr>
        <w:pStyle w:val="Heading2"/>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t xml:space="preserve">OFFICIAL FEE STRUCTURE, FINANCIAL MANAGEMENT &amp; REFUND POLICY</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Rule="auto"/>
        <w:rPr>
          <w:b w:val="1"/>
          <w:bCs w:val="1"/>
        </w:rPr>
      </w:pPr>
      <w:r w:rsidDel="00000000" w:rsidR="00000000" w:rsidRPr="00000000">
        <w:rPr>
          <w:b w:val="1"/>
          <w:bCs w:val="1"/>
          <w:rtl w:val="0"/>
        </w:rPr>
        <w:t xml:space="preserve">Academic Session: 2026 - 2027 | Compliance Framework: UGC, Punjab Govt. &amp; Panjab University Mandates</w:t>
      </w:r>
    </w:p>
    <w:p w:rsidR="00000000" w:rsidDel="00000000" w:rsidP="00000000" w:rsidRDefault="00000000" w:rsidRPr="00000000" w14:paraId="00000005">
      <w:pPr>
        <w:pStyle w:val="Heading3"/>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t xml:space="preserve">1. ADMINISTRATIVE &amp; ADMISSION INITIAL CHARGES</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1.1 All entry seekers must process registration via the single-window centralized state portal. A one-time portal registration processing fee of </w:t>
      </w:r>
      <w:r w:rsidDel="00000000" w:rsidR="00000000" w:rsidRPr="00000000">
        <w:rPr>
          <w:b w:val="1"/>
          <w:bCs w:val="1"/>
          <w:rtl w:val="0"/>
        </w:rPr>
        <w:t xml:space="preserve">₹200</w:t>
      </w:r>
      <w:r w:rsidDel="00000000" w:rsidR="00000000" w:rsidRPr="00000000">
        <w:rPr>
          <w:rtl w:val="0"/>
        </w:rPr>
        <w:t xml:space="preserve"> must be cleared online during form submission. This payment goes directly to the portal system maintenance and is completely non-refundable under any circumstances.</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Rule="auto"/>
        <w:rPr/>
      </w:pPr>
      <w:r w:rsidDel="00000000" w:rsidR="00000000" w:rsidRPr="00000000">
        <w:rPr>
          <w:rtl w:val="0"/>
        </w:rPr>
        <w:t xml:space="preserve">1.2 At the formal time of physical counseling or merit allocation clearance, approved applicants must clear **6 months of tuition fees upfront** along with all other allied annual institutional funds to secure their seat lock. Payment must be processed through online digital channels only; no cash transactions are supported at the college counter during the merit phases.</w:t>
      </w:r>
    </w:p>
    <w:p w:rsidR="00000000" w:rsidDel="00000000" w:rsidP="00000000" w:rsidRDefault="00000000" w:rsidRPr="00000000" w14:paraId="00000008">
      <w:pPr>
        <w:pStyle w:val="Heading3"/>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t xml:space="preserve">2. COURSE TIER &amp; PRACTICAL CHARGES MATRIX</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150" w:lineRule="auto"/>
        <w:rPr/>
      </w:pPr>
      <w:r w:rsidDel="00000000" w:rsidR="00000000" w:rsidRPr="00000000">
        <w:rPr>
          <w:rtl w:val="0"/>
        </w:rPr>
        <w:t xml:space="preserve">Tuition fees and annual infrastructure allocations follow the standard state matrices. In addition to base fees, structural practical laboratory fees are levied as per university rules:</w:t>
      </w:r>
    </w:p>
    <w:tbl>
      <w:tblPr>
        <w:tblStyle w:val="Table1"/>
        <w:tblW w:w="9360.0" w:type="dxa"/>
        <w:jc w:val="left"/>
        <w:tblBorders>
          <w:top w:color="cbd5e1" w:space="0" w:sz="6" w:val="single"/>
          <w:left w:color="cbd5e1" w:space="0" w:sz="6" w:val="single"/>
          <w:bottom w:color="cbd5e1" w:space="0" w:sz="6" w:val="single"/>
          <w:right w:color="cbd5e1" w:space="0" w:sz="6" w:val="single"/>
          <w:insideH w:color="cbd5e1" w:space="0" w:sz="6" w:val="single"/>
          <w:insideV w:color="cbd5e1"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1"/>
        </w:trPr>
        <w:tc>
          <w:tcPr>
            <w:shd w:fill="1e3a8a" w:val="clear"/>
            <w:tcMar>
              <w:top w:w="120.0" w:type="dxa"/>
              <w:left w:w="120.0" w:type="dxa"/>
              <w:bottom w:w="120.0" w:type="dxa"/>
              <w:right w:w="120.0" w:type="dxa"/>
            </w:tcMar>
            <w:vAlign w:val="top"/>
          </w:tcPr>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rPr>
                <w:color w:val="ffffff"/>
                <w:shd w:fill="auto" w:val="clear"/>
              </w:rPr>
            </w:pPr>
            <w:r w:rsidDel="00000000" w:rsidR="00000000" w:rsidRPr="00000000">
              <w:rPr>
                <w:color w:val="ffffff"/>
                <w:shd w:fill="auto" w:val="clear"/>
                <w:rtl w:val="0"/>
              </w:rPr>
              <w:t xml:space="preserve">Fee Component / Ledger Item</w:t>
            </w:r>
          </w:p>
        </w:tc>
        <w:tc>
          <w:tcPr>
            <w:shd w:fill="1e3a8a" w:val="clear"/>
            <w:tcMar>
              <w:top w:w="120.0" w:type="dxa"/>
              <w:left w:w="120.0" w:type="dxa"/>
              <w:bottom w:w="120.0" w:type="dxa"/>
              <w:right w:w="120.0" w:type="dxa"/>
            </w:tcMar>
            <w:vAlign w:val="top"/>
          </w:tcPr>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rPr>
                <w:color w:val="ffffff"/>
                <w:shd w:fill="auto" w:val="clear"/>
              </w:rPr>
            </w:pPr>
            <w:r w:rsidDel="00000000" w:rsidR="00000000" w:rsidRPr="00000000">
              <w:rPr>
                <w:color w:val="ffffff"/>
                <w:shd w:fill="auto" w:val="clear"/>
                <w:rtl w:val="0"/>
              </w:rPr>
              <w:t xml:space="preserve">Applicability Scope</w:t>
            </w:r>
          </w:p>
        </w:tc>
        <w:tc>
          <w:tcPr>
            <w:shd w:fill="1e3a8a" w:val="clear"/>
            <w:tcMar>
              <w:top w:w="120.0" w:type="dxa"/>
              <w:left w:w="120.0" w:type="dxa"/>
              <w:bottom w:w="120.0" w:type="dxa"/>
              <w:right w:w="120.0" w:type="dxa"/>
            </w:tcMar>
            <w:vAlign w:val="top"/>
          </w:tcPr>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rPr>
                <w:color w:val="ffffff"/>
                <w:shd w:fill="auto" w:val="clear"/>
              </w:rPr>
            </w:pPr>
            <w:r w:rsidDel="00000000" w:rsidR="00000000" w:rsidRPr="00000000">
              <w:rPr>
                <w:color w:val="ffffff"/>
                <w:shd w:fill="auto" w:val="clear"/>
                <w:rtl w:val="0"/>
              </w:rPr>
              <w:t xml:space="preserve">Financial Directive &amp; Terms</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w:t>
            </w:r>
          </w:p>
        </w:tc>
      </w:tr>
      <w:tr>
        <w:trPr>
          <w:cantSplit w:val="0"/>
          <w:tblHeader w:val="0"/>
        </w:trPr>
        <w:tc>
          <w:tcPr>
            <w:shd w:fill="auto" w:val="clear"/>
            <w:tcMar>
              <w:top w:w="120.0" w:type="dxa"/>
              <w:left w:w="120.0" w:type="dxa"/>
              <w:bottom w:w="120.0" w:type="dxa"/>
              <w:right w:w="120.0" w:type="dxa"/>
            </w:tcMar>
            <w:vAlign w:val="top"/>
          </w:tcPr>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rPr>
                <w:b w:val="1"/>
                <w:bCs w:val="1"/>
              </w:rPr>
            </w:pPr>
            <w:r w:rsidDel="00000000" w:rsidR="00000000" w:rsidRPr="00000000">
              <w:rPr>
                <w:b w:val="1"/>
                <w:bCs w:val="1"/>
                <w:rtl w:val="0"/>
              </w:rPr>
              <w:t xml:space="preserve">Base Program Fee (Advance)</w:t>
            </w:r>
          </w:p>
        </w:tc>
        <w:tc>
          <w:tcPr>
            <w:shd w:fill="auto" w:val="clear"/>
            <w:tcMar>
              <w:top w:w="120.0" w:type="dxa"/>
              <w:left w:w="120.0" w:type="dxa"/>
              <w:bottom w:w="120.0" w:type="dxa"/>
              <w:right w:w="120.0" w:type="dxa"/>
            </w:tcMar>
            <w:vAlign w:val="top"/>
          </w:tcPr>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All Enrolled Students (UG / PG / B.Voc)</w:t>
            </w:r>
          </w:p>
        </w:tc>
        <w:tc>
          <w:tcPr>
            <w:shd w:fill="auto" w:val="clear"/>
            <w:tcMar>
              <w:top w:w="120.0" w:type="dxa"/>
              <w:left w:w="120.0" w:type="dxa"/>
              <w:bottom w:w="120.0" w:type="dxa"/>
              <w:right w:w="120.0" w:type="dxa"/>
            </w:tcMar>
            <w:vAlign w:val="top"/>
          </w:tcPr>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Compulsory 6-Month advance cluster collection collected during initial enrollment.</w:t>
            </w:r>
          </w:p>
        </w:tc>
      </w:tr>
      <w:tr>
        <w:trPr>
          <w:cantSplit w:val="0"/>
          <w:tblHeader w:val="0"/>
        </w:trPr>
        <w:tc>
          <w:tcPr>
            <w:shd w:fill="f8fafc" w:val="clear"/>
            <w:tcMar>
              <w:top w:w="120.0" w:type="dxa"/>
              <w:left w:w="120.0" w:type="dxa"/>
              <w:bottom w:w="120.0" w:type="dxa"/>
              <w:right w:w="120.0" w:type="dxa"/>
            </w:tcMar>
            <w:vAlign w:val="top"/>
          </w:tcPr>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rPr>
                <w:b w:val="1"/>
                <w:bCs w:val="1"/>
                <w:shd w:fill="auto" w:val="clear"/>
              </w:rPr>
            </w:pPr>
            <w:r w:rsidDel="00000000" w:rsidR="00000000" w:rsidRPr="00000000">
              <w:rPr>
                <w:b w:val="1"/>
                <w:bCs w:val="1"/>
                <w:shd w:fill="auto" w:val="clear"/>
                <w:rtl w:val="0"/>
              </w:rPr>
              <w:t xml:space="preserve">Practical Laboratory Fee</w:t>
            </w:r>
          </w:p>
        </w:tc>
        <w:tc>
          <w:tcPr>
            <w:shd w:fill="f8fafc" w:val="clear"/>
            <w:tcMar>
              <w:top w:w="120.0" w:type="dxa"/>
              <w:left w:w="120.0" w:type="dxa"/>
              <w:bottom w:w="120.0" w:type="dxa"/>
              <w:right w:w="120.0" w:type="dxa"/>
            </w:tcMar>
            <w:vAlign w:val="top"/>
          </w:tcPr>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rPr>
                <w:shd w:fill="auto" w:val="clear"/>
              </w:rPr>
            </w:pPr>
            <w:r w:rsidDel="00000000" w:rsidR="00000000" w:rsidRPr="00000000">
              <w:rPr>
                <w:shd w:fill="auto" w:val="clear"/>
                <w:rtl w:val="0"/>
              </w:rPr>
              <w:t xml:space="preserve">Arts &amp; Non-Medical streams with practical courses</w:t>
            </w:r>
          </w:p>
        </w:tc>
        <w:tc>
          <w:tcPr>
            <w:shd w:fill="f8fafc" w:val="clear"/>
            <w:tcMar>
              <w:top w:w="120.0" w:type="dxa"/>
              <w:left w:w="120.0" w:type="dxa"/>
              <w:bottom w:w="120.0" w:type="dxa"/>
              <w:right w:w="120.0" w:type="dxa"/>
            </w:tcMar>
            <w:vAlign w:val="top"/>
          </w:tcPr>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rPr>
                <w:shd w:fill="auto" w:val="clear"/>
              </w:rPr>
            </w:pPr>
            <w:r w:rsidDel="00000000" w:rsidR="00000000" w:rsidRPr="00000000">
              <w:rPr>
                <w:shd w:fill="auto" w:val="clear"/>
                <w:rtl w:val="0"/>
              </w:rPr>
              <w:t xml:space="preserve">Supplementary charges levied per practical subject as per Panjab University rules.</w:t>
            </w:r>
          </w:p>
        </w:tc>
      </w:tr>
      <w:tr>
        <w:trPr>
          <w:cantSplit w:val="0"/>
          <w:tblHeader w:val="0"/>
        </w:trPr>
        <w:tc>
          <w:tcPr>
            <w:shd w:fill="auto" w:val="clear"/>
            <w:tcMar>
              <w:top w:w="120.0" w:type="dxa"/>
              <w:left w:w="120.0" w:type="dxa"/>
              <w:bottom w:w="120.0" w:type="dxa"/>
              <w:right w:w="120.0" w:type="dxa"/>
            </w:tcMar>
            <w:vAlign w:val="top"/>
          </w:tcPr>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rPr>
                <w:b w:val="1"/>
                <w:bCs w:val="1"/>
              </w:rPr>
            </w:pPr>
            <w:r w:rsidDel="00000000" w:rsidR="00000000" w:rsidRPr="00000000">
              <w:rPr>
                <w:b w:val="1"/>
                <w:bCs w:val="1"/>
                <w:rtl w:val="0"/>
              </w:rPr>
              <w:t xml:space="preserve">Vocational Infrastructure Fund</w:t>
            </w:r>
          </w:p>
        </w:tc>
        <w:tc>
          <w:tcPr>
            <w:shd w:fill="auto" w:val="clear"/>
            <w:tcMar>
              <w:top w:w="120.0" w:type="dxa"/>
              <w:left w:w="120.0" w:type="dxa"/>
              <w:bottom w:w="120.0" w:type="dxa"/>
              <w:right w:w="120.0" w:type="dxa"/>
            </w:tcMar>
            <w:vAlign w:val="top"/>
          </w:tcPr>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B.Voc (Automobile &amp; Retail Management)</w:t>
            </w:r>
          </w:p>
        </w:tc>
        <w:tc>
          <w:tcPr>
            <w:shd w:fill="auto" w:val="clear"/>
            <w:tcMar>
              <w:top w:w="120.0" w:type="dxa"/>
              <w:left w:w="120.0" w:type="dxa"/>
              <w:bottom w:w="120.0" w:type="dxa"/>
              <w:right w:w="120.0" w:type="dxa"/>
            </w:tcMar>
            <w:vAlign w:val="top"/>
          </w:tcPr>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Levied for specialized off-site safety workshops and workshop tool maintenance.</w:t>
            </w:r>
          </w:p>
        </w:tc>
      </w:tr>
      <w:tr>
        <w:trPr>
          <w:cantSplit w:val="0"/>
          <w:tblHeader w:val="0"/>
        </w:trPr>
        <w:tc>
          <w:tcPr>
            <w:shd w:fill="f8fafc" w:val="clear"/>
            <w:tcMar>
              <w:top w:w="120.0" w:type="dxa"/>
              <w:left w:w="120.0" w:type="dxa"/>
              <w:bottom w:w="120.0" w:type="dxa"/>
              <w:right w:w="120.0" w:type="dxa"/>
            </w:tcMar>
            <w:vAlign w:val="top"/>
          </w:tcPr>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rPr>
                <w:b w:val="1"/>
                <w:bCs w:val="1"/>
                <w:shd w:fill="auto" w:val="clear"/>
              </w:rPr>
            </w:pPr>
            <w:r w:rsidDel="00000000" w:rsidR="00000000" w:rsidRPr="00000000">
              <w:rPr>
                <w:b w:val="1"/>
                <w:bCs w:val="1"/>
                <w:shd w:fill="auto" w:val="clear"/>
                <w:rtl w:val="0"/>
              </w:rPr>
              <w:t xml:space="preserve">NCTE Professional Unit Fee</w:t>
            </w:r>
          </w:p>
        </w:tc>
        <w:tc>
          <w:tcPr>
            <w:shd w:fill="f8fafc" w:val="clear"/>
            <w:tcMar>
              <w:top w:w="120.0" w:type="dxa"/>
              <w:left w:w="120.0" w:type="dxa"/>
              <w:bottom w:w="120.0" w:type="dxa"/>
              <w:right w:w="120.0" w:type="dxa"/>
            </w:tcMar>
            <w:vAlign w:val="top"/>
          </w:tcPr>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rPr>
                <w:shd w:fill="auto" w:val="clear"/>
              </w:rPr>
            </w:pPr>
            <w:r w:rsidDel="00000000" w:rsidR="00000000" w:rsidRPr="00000000">
              <w:rPr>
                <w:shd w:fill="auto" w:val="clear"/>
                <w:rtl w:val="0"/>
              </w:rPr>
              <w:t xml:space="preserve">M.P.Ed. &amp; B.P.Ed. Courses</w:t>
            </w:r>
          </w:p>
        </w:tc>
        <w:tc>
          <w:tcPr>
            <w:shd w:fill="f8fafc" w:val="clear"/>
            <w:tcMar>
              <w:top w:w="120.0" w:type="dxa"/>
              <w:left w:w="120.0" w:type="dxa"/>
              <w:bottom w:w="120.0" w:type="dxa"/>
              <w:right w:w="120.0" w:type="dxa"/>
            </w:tcMar>
            <w:vAlign w:val="top"/>
          </w:tcPr>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rPr>
                <w:shd w:fill="auto" w:val="clear"/>
              </w:rPr>
            </w:pPr>
            <w:r w:rsidDel="00000000" w:rsidR="00000000" w:rsidRPr="00000000">
              <w:rPr>
                <w:shd w:fill="auto" w:val="clear"/>
                <w:rtl w:val="0"/>
              </w:rPr>
              <w:t xml:space="preserve">Covers professional physical fitness testing tools and teaching practice school networks.</w:t>
            </w:r>
          </w:p>
        </w:tc>
      </w:tr>
    </w:tbl>
    <w:p w:rsidR="00000000" w:rsidDel="00000000" w:rsidP="00000000" w:rsidRDefault="00000000" w:rsidRPr="00000000" w14:paraId="0000001A">
      <w:pPr>
        <w:pStyle w:val="Heading3"/>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3. MANDATORY UGC &amp; GOVT. FEE REFUND TIMELINE</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150" w:lineRule="auto"/>
        <w:rPr/>
      </w:pPr>
      <w:r w:rsidDel="00000000" w:rsidR="00000000" w:rsidRPr="00000000">
        <w:rPr>
          <w:rtl w:val="0"/>
        </w:rPr>
        <w:t xml:space="preserve">In accordance with the statutory notifications issued by the University Grants Commission (UGC) and the Ministry of Education, the following point-system timeline strictly overrides all internal guidelines for voluntary seat surrenders:</w:t>
      </w:r>
    </w:p>
    <w:tbl>
      <w:tblPr>
        <w:tblStyle w:val="Table2"/>
        <w:tblW w:w="9360.0" w:type="dxa"/>
        <w:jc w:val="left"/>
        <w:tblBorders>
          <w:top w:color="cbd5e1" w:space="0" w:sz="6" w:val="single"/>
          <w:left w:color="cbd5e1" w:space="0" w:sz="6" w:val="single"/>
          <w:bottom w:color="cbd5e1" w:space="0" w:sz="6" w:val="single"/>
          <w:right w:color="cbd5e1" w:space="0" w:sz="6" w:val="single"/>
          <w:insideH w:color="cbd5e1" w:space="0" w:sz="6" w:val="single"/>
          <w:insideV w:color="cbd5e1"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1"/>
        </w:trPr>
        <w:tc>
          <w:tcPr>
            <w:shd w:fill="1e3a8a" w:val="clear"/>
            <w:tcMar>
              <w:top w:w="120.0" w:type="dxa"/>
              <w:left w:w="120.0" w:type="dxa"/>
              <w:bottom w:w="120.0" w:type="dxa"/>
              <w:right w:w="120.0" w:type="dxa"/>
            </w:tcMar>
            <w:vAlign w:val="top"/>
          </w:tcPr>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rPr>
                <w:color w:val="ffffff"/>
                <w:shd w:fill="auto" w:val="clear"/>
              </w:rPr>
            </w:pPr>
            <w:r w:rsidDel="00000000" w:rsidR="00000000" w:rsidRPr="00000000">
              <w:rPr>
                <w:color w:val="ffffff"/>
                <w:shd w:fill="auto" w:val="clear"/>
                <w:rtl w:val="0"/>
              </w:rPr>
              <w:t xml:space="preserve">Timeline of Formal Written Notice for Seat Withdrawal</w:t>
            </w:r>
          </w:p>
        </w:tc>
        <w:tc>
          <w:tcPr>
            <w:shd w:fill="1e3a8a" w:val="clear"/>
            <w:tcMar>
              <w:top w:w="120.0" w:type="dxa"/>
              <w:left w:w="120.0" w:type="dxa"/>
              <w:bottom w:w="120.0" w:type="dxa"/>
              <w:right w:w="120.0" w:type="dxa"/>
            </w:tcMar>
            <w:vAlign w:val="top"/>
          </w:tcPr>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rPr>
                <w:color w:val="ffffff"/>
                <w:shd w:fill="auto" w:val="clear"/>
              </w:rPr>
            </w:pPr>
            <w:r w:rsidDel="00000000" w:rsidR="00000000" w:rsidRPr="00000000">
              <w:rPr>
                <w:color w:val="ffffff"/>
                <w:shd w:fill="auto" w:val="clear"/>
                <w:rtl w:val="0"/>
              </w:rPr>
              <w:t xml:space="preserve">Percentage of Fee Refunded</w:t>
            </w:r>
          </w:p>
        </w:tc>
        <w:tc>
          <w:tcPr>
            <w:shd w:fill="1e3a8a" w:val="clear"/>
            <w:tcMar>
              <w:top w:w="120.0" w:type="dxa"/>
              <w:left w:w="120.0" w:type="dxa"/>
              <w:bottom w:w="120.0" w:type="dxa"/>
              <w:right w:w="120.0" w:type="dxa"/>
            </w:tcMar>
            <w:vAlign w:val="top"/>
          </w:tcPr>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rPr>
                <w:color w:val="ffffff"/>
                <w:shd w:fill="auto" w:val="clear"/>
              </w:rPr>
            </w:pPr>
            <w:r w:rsidDel="00000000" w:rsidR="00000000" w:rsidRPr="00000000">
              <w:rPr>
                <w:color w:val="ffffff"/>
                <w:shd w:fill="auto" w:val="clear"/>
                <w:rtl w:val="0"/>
              </w:rPr>
              <w:t xml:space="preserve">Deduction / Processing Charges Scope</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w:t>
            </w:r>
          </w:p>
        </w:tc>
      </w:tr>
      <w:tr>
        <w:trPr>
          <w:cantSplit w:val="0"/>
          <w:tblHeader w:val="0"/>
        </w:trPr>
        <w:tc>
          <w:tcPr>
            <w:shd w:fill="auto" w:val="clear"/>
            <w:tcMar>
              <w:top w:w="120.0" w:type="dxa"/>
              <w:left w:w="120.0" w:type="dxa"/>
              <w:bottom w:w="120.0" w:type="dxa"/>
              <w:right w:w="120.0" w:type="dxa"/>
            </w:tcMar>
            <w:vAlign w:val="top"/>
          </w:tcPr>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15 Days or more BEFORE</w:t>
            </w:r>
            <w:r w:rsidDel="00000000" w:rsidR="00000000" w:rsidRPr="00000000">
              <w:rPr>
                <w:rtl w:val="0"/>
              </w:rPr>
              <w:t xml:space="preserve"> the notified last date of admission.</w:t>
            </w:r>
          </w:p>
        </w:tc>
        <w:tc>
          <w:tcPr>
            <w:shd w:fill="auto" w:val="clear"/>
            <w:tcMar>
              <w:top w:w="120.0" w:type="dxa"/>
              <w:left w:w="120.0" w:type="dxa"/>
              <w:bottom w:w="120.0" w:type="dxa"/>
              <w:right w:w="120.0" w:type="dxa"/>
            </w:tcMar>
            <w:vAlign w:val="top"/>
          </w:tcPr>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rPr>
                <w:b w:val="1"/>
                <w:bCs w:val="1"/>
                <w:color w:val="059669"/>
              </w:rPr>
            </w:pPr>
            <w:r w:rsidDel="00000000" w:rsidR="00000000" w:rsidRPr="00000000">
              <w:rPr>
                <w:b w:val="1"/>
                <w:bCs w:val="1"/>
                <w:color w:val="059669"/>
                <w:rtl w:val="0"/>
              </w:rPr>
              <w:t xml:space="preserve">100% Refund</w:t>
            </w:r>
          </w:p>
        </w:tc>
        <w:tc>
          <w:tcPr>
            <w:shd w:fill="auto" w:val="clear"/>
            <w:tcMar>
              <w:top w:w="120.0" w:type="dxa"/>
              <w:left w:w="120.0" w:type="dxa"/>
              <w:bottom w:w="120.0" w:type="dxa"/>
              <w:right w:w="120.0" w:type="dxa"/>
            </w:tcMar>
            <w:vAlign w:val="top"/>
          </w:tcPr>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Full aggregate fees returned. Max ₹1,000 deducted as administrative processing charge.</w:t>
            </w:r>
          </w:p>
        </w:tc>
      </w:tr>
      <w:tr>
        <w:trPr>
          <w:cantSplit w:val="0"/>
          <w:tblHeader w:val="0"/>
        </w:trPr>
        <w:tc>
          <w:tcPr>
            <w:shd w:fill="f8fafc" w:val="clear"/>
            <w:tcMar>
              <w:top w:w="120.0" w:type="dxa"/>
              <w:left w:w="120.0" w:type="dxa"/>
              <w:bottom w:w="120.0" w:type="dxa"/>
              <w:right w:w="120.0" w:type="dxa"/>
            </w:tcMar>
            <w:vAlign w:val="top"/>
          </w:tcPr>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rPr>
                <w:shd w:fill="auto" w:val="clear"/>
              </w:rPr>
            </w:pPr>
            <w:r w:rsidDel="00000000" w:rsidR="00000000" w:rsidRPr="00000000">
              <w:rPr>
                <w:b w:val="1"/>
                <w:bCs w:val="1"/>
                <w:shd w:fill="auto" w:val="clear"/>
                <w:rtl w:val="0"/>
              </w:rPr>
              <w:t xml:space="preserve">LESS than 15 Days BEFORE</w:t>
            </w:r>
            <w:r w:rsidDel="00000000" w:rsidR="00000000" w:rsidRPr="00000000">
              <w:rPr>
                <w:shd w:fill="auto" w:val="clear"/>
                <w:rtl w:val="0"/>
              </w:rPr>
              <w:t xml:space="preserve"> the notified last date of admission.</w:t>
            </w:r>
          </w:p>
        </w:tc>
        <w:tc>
          <w:tcPr>
            <w:shd w:fill="f8fafc" w:val="clear"/>
            <w:tcMar>
              <w:top w:w="120.0" w:type="dxa"/>
              <w:left w:w="120.0" w:type="dxa"/>
              <w:bottom w:w="120.0" w:type="dxa"/>
              <w:right w:w="120.0" w:type="dxa"/>
            </w:tcMar>
            <w:vAlign w:val="top"/>
          </w:tcPr>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rPr>
                <w:b w:val="1"/>
                <w:bCs w:val="1"/>
                <w:color w:val="059669"/>
                <w:shd w:fill="auto" w:val="clear"/>
              </w:rPr>
            </w:pPr>
            <w:r w:rsidDel="00000000" w:rsidR="00000000" w:rsidRPr="00000000">
              <w:rPr>
                <w:b w:val="1"/>
                <w:bCs w:val="1"/>
                <w:color w:val="059669"/>
                <w:shd w:fill="auto" w:val="clear"/>
                <w:rtl w:val="0"/>
              </w:rPr>
              <w:t xml:space="preserve">90% Refund</w:t>
            </w:r>
          </w:p>
        </w:tc>
        <w:tc>
          <w:tcPr>
            <w:shd w:fill="f8fafc" w:val="clear"/>
            <w:tcMar>
              <w:top w:w="120.0" w:type="dxa"/>
              <w:left w:w="120.0" w:type="dxa"/>
              <w:bottom w:w="120.0" w:type="dxa"/>
              <w:right w:w="120.0" w:type="dxa"/>
            </w:tcMar>
            <w:vAlign w:val="top"/>
          </w:tcPr>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rPr>
                <w:shd w:fill="auto" w:val="clear"/>
              </w:rPr>
            </w:pPr>
            <w:r w:rsidDel="00000000" w:rsidR="00000000" w:rsidRPr="00000000">
              <w:rPr>
                <w:shd w:fill="auto" w:val="clear"/>
                <w:rtl w:val="0"/>
              </w:rPr>
              <w:t xml:space="preserve">10% of aggregate fees deducted as processing penalty.</w:t>
            </w:r>
          </w:p>
        </w:tc>
      </w:tr>
      <w:tr>
        <w:trPr>
          <w:cantSplit w:val="0"/>
          <w:tblHeader w:val="0"/>
        </w:trPr>
        <w:tc>
          <w:tcPr>
            <w:shd w:fill="auto" w:val="clear"/>
            <w:tcMar>
              <w:top w:w="120.0" w:type="dxa"/>
              <w:left w:w="120.0" w:type="dxa"/>
              <w:bottom w:w="120.0" w:type="dxa"/>
              <w:right w:w="120.0" w:type="dxa"/>
            </w:tcMar>
            <w:vAlign w:val="top"/>
          </w:tcPr>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LESS than 15 Days AFTER</w:t>
            </w:r>
            <w:r w:rsidDel="00000000" w:rsidR="00000000" w:rsidRPr="00000000">
              <w:rPr>
                <w:rtl w:val="0"/>
              </w:rPr>
              <w:t xml:space="preserve"> the notified last date of admission.</w:t>
            </w:r>
          </w:p>
        </w:tc>
        <w:tc>
          <w:tcPr>
            <w:shd w:fill="auto" w:val="clear"/>
            <w:tcMar>
              <w:top w:w="120.0" w:type="dxa"/>
              <w:left w:w="120.0" w:type="dxa"/>
              <w:bottom w:w="120.0" w:type="dxa"/>
              <w:right w:w="120.0" w:type="dxa"/>
            </w:tcMar>
            <w:vAlign w:val="top"/>
          </w:tcPr>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rPr>
                <w:b w:val="1"/>
                <w:bCs w:val="1"/>
                <w:color w:val="b45309"/>
              </w:rPr>
            </w:pPr>
            <w:r w:rsidDel="00000000" w:rsidR="00000000" w:rsidRPr="00000000">
              <w:rPr>
                <w:b w:val="1"/>
                <w:bCs w:val="1"/>
                <w:color w:val="b45309"/>
                <w:rtl w:val="0"/>
              </w:rPr>
              <w:t xml:space="preserve">80% Refund</w:t>
            </w:r>
          </w:p>
        </w:tc>
        <w:tc>
          <w:tcPr>
            <w:shd w:fill="auto" w:val="clear"/>
            <w:tcMar>
              <w:top w:w="120.0" w:type="dxa"/>
              <w:left w:w="120.0" w:type="dxa"/>
              <w:bottom w:w="120.0" w:type="dxa"/>
              <w:right w:w="120.0" w:type="dxa"/>
            </w:tcMar>
            <w:vAlign w:val="top"/>
          </w:tcPr>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20% of aggregate fees deducted as processing penalty.</w:t>
            </w:r>
          </w:p>
        </w:tc>
      </w:tr>
      <w:tr>
        <w:trPr>
          <w:cantSplit w:val="0"/>
          <w:tblHeader w:val="0"/>
        </w:trPr>
        <w:tc>
          <w:tcPr>
            <w:shd w:fill="f8fafc" w:val="clear"/>
            <w:tcMar>
              <w:top w:w="120.0" w:type="dxa"/>
              <w:left w:w="120.0" w:type="dxa"/>
              <w:bottom w:w="120.0" w:type="dxa"/>
              <w:right w:w="120.0" w:type="dxa"/>
            </w:tcMar>
            <w:vAlign w:val="top"/>
          </w:tcPr>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rPr>
                <w:shd w:fill="auto" w:val="clear"/>
              </w:rPr>
            </w:pPr>
            <w:r w:rsidDel="00000000" w:rsidR="00000000" w:rsidRPr="00000000">
              <w:rPr>
                <w:b w:val="1"/>
                <w:bCs w:val="1"/>
                <w:shd w:fill="auto" w:val="clear"/>
                <w:rtl w:val="0"/>
              </w:rPr>
              <w:t xml:space="preserve">More than 15 Days but LESS than 30 Days AFTER</w:t>
            </w:r>
            <w:r w:rsidDel="00000000" w:rsidR="00000000" w:rsidRPr="00000000">
              <w:rPr>
                <w:shd w:fill="auto" w:val="clear"/>
                <w:rtl w:val="0"/>
              </w:rPr>
              <w:t xml:space="preserve"> the last date of admission.</w:t>
            </w:r>
          </w:p>
        </w:tc>
        <w:tc>
          <w:tcPr>
            <w:shd w:fill="f8fafc" w:val="clear"/>
            <w:tcMar>
              <w:top w:w="120.0" w:type="dxa"/>
              <w:left w:w="120.0" w:type="dxa"/>
              <w:bottom w:w="120.0" w:type="dxa"/>
              <w:right w:w="120.0" w:type="dxa"/>
            </w:tcMar>
            <w:vAlign w:val="top"/>
          </w:tcPr>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rPr>
                <w:b w:val="1"/>
                <w:bCs w:val="1"/>
                <w:color w:val="b45309"/>
                <w:shd w:fill="auto" w:val="clear"/>
              </w:rPr>
            </w:pPr>
            <w:r w:rsidDel="00000000" w:rsidR="00000000" w:rsidRPr="00000000">
              <w:rPr>
                <w:b w:val="1"/>
                <w:bCs w:val="1"/>
                <w:color w:val="b45309"/>
                <w:shd w:fill="auto" w:val="clear"/>
                <w:rtl w:val="0"/>
              </w:rPr>
              <w:t xml:space="preserve">50% Refund</w:t>
            </w:r>
          </w:p>
        </w:tc>
        <w:tc>
          <w:tcPr>
            <w:shd w:fill="f8fafc" w:val="clear"/>
            <w:tcMar>
              <w:top w:w="120.0" w:type="dxa"/>
              <w:left w:w="120.0" w:type="dxa"/>
              <w:bottom w:w="120.0" w:type="dxa"/>
              <w:right w:w="120.0" w:type="dxa"/>
            </w:tcMar>
            <w:vAlign w:val="top"/>
          </w:tcPr>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rPr>
                <w:shd w:fill="auto" w:val="clear"/>
              </w:rPr>
            </w:pPr>
            <w:r w:rsidDel="00000000" w:rsidR="00000000" w:rsidRPr="00000000">
              <w:rPr>
                <w:shd w:fill="auto" w:val="clear"/>
                <w:rtl w:val="0"/>
              </w:rPr>
              <w:t xml:space="preserve">50% of aggregate fees deducted as processing penalty.</w:t>
            </w:r>
          </w:p>
        </w:tc>
      </w:tr>
      <w:tr>
        <w:trPr>
          <w:cantSplit w:val="0"/>
          <w:tblHeader w:val="0"/>
        </w:trPr>
        <w:tc>
          <w:tcPr>
            <w:shd w:fill="auto" w:val="clear"/>
            <w:tcMar>
              <w:top w:w="120.0" w:type="dxa"/>
              <w:left w:w="120.0" w:type="dxa"/>
              <w:bottom w:w="120.0" w:type="dxa"/>
              <w:right w:w="120.0" w:type="dxa"/>
            </w:tcMar>
            <w:vAlign w:val="top"/>
          </w:tcPr>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More than 30 Days AFTER</w:t>
            </w:r>
            <w:r w:rsidDel="00000000" w:rsidR="00000000" w:rsidRPr="00000000">
              <w:rPr>
                <w:rtl w:val="0"/>
              </w:rPr>
              <w:t xml:space="preserve"> the notified last date of admission.</w:t>
            </w:r>
          </w:p>
        </w:tc>
        <w:tc>
          <w:tcPr>
            <w:shd w:fill="auto" w:val="clear"/>
            <w:tcMar>
              <w:top w:w="120.0" w:type="dxa"/>
              <w:left w:w="120.0" w:type="dxa"/>
              <w:bottom w:w="120.0" w:type="dxa"/>
              <w:right w:w="120.0" w:type="dxa"/>
            </w:tcMar>
            <w:vAlign w:val="top"/>
          </w:tcPr>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rPr>
                <w:b w:val="1"/>
                <w:bCs w:val="1"/>
                <w:color w:val="dc2626"/>
              </w:rPr>
            </w:pPr>
            <w:r w:rsidDel="00000000" w:rsidR="00000000" w:rsidRPr="00000000">
              <w:rPr>
                <w:b w:val="1"/>
                <w:bCs w:val="1"/>
                <w:color w:val="dc2626"/>
                <w:rtl w:val="0"/>
              </w:rPr>
              <w:t xml:space="preserve">0% (Nil Refund)</w:t>
            </w:r>
          </w:p>
        </w:tc>
        <w:tc>
          <w:tcPr>
            <w:shd w:fill="auto" w:val="clear"/>
            <w:tcMar>
              <w:top w:w="120.0" w:type="dxa"/>
              <w:left w:w="120.0" w:type="dxa"/>
              <w:bottom w:w="120.0" w:type="dxa"/>
              <w:right w:w="120.0" w:type="dxa"/>
            </w:tcMar>
            <w:vAlign w:val="top"/>
          </w:tcPr>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Absolute structural forfeiture. No funds can be extracted from the treasury.</w:t>
            </w:r>
          </w:p>
        </w:tc>
      </w:tr>
    </w:tbl>
    <w:p w:rsidR="00000000" w:rsidDel="00000000" w:rsidP="00000000" w:rsidRDefault="00000000" w:rsidRPr="00000000" w14:paraId="0000002F">
      <w:pPr>
        <w:pStyle w:val="Heading3"/>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4. EXCLUSIONS &amp; ABSOLUTE FORFEITURE CONDITIONS</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4.1 The statutory UGC tiered refund window listed above applies **exclusively to honest, voluntary seat surrenders** initiated by the student or guardian.</w:t>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4.2 Admission secured on the basis of incorrect information, fake transcripts, fictitious statements, or intentionally hidden historical facts (such as hiding an active external university compartment block) shall be canceled immediately by the Principal.</w:t>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240" w:lineRule="auto"/>
        <w:rPr/>
      </w:pPr>
      <w:r w:rsidDel="00000000" w:rsidR="00000000" w:rsidRPr="00000000">
        <w:rPr>
          <w:rtl w:val="0"/>
        </w:rPr>
        <w:t xml:space="preserve">4.3 In all cases of **discovery cancellations or university-declared ineligibility** due to student misrepresentation, all submitted fees and funds face **100% absolute forfeiture**. No claims for refunds or adjustment credits will be entertained under any circumstances.</w:t>
      </w:r>
    </w:p>
    <w:p w:rsidR="00000000" w:rsidDel="00000000" w:rsidP="00000000" w:rsidRDefault="00000000" w:rsidRPr="00000000" w14:paraId="00000033">
      <w:pPr>
        <w:pStyle w:val="Heading3"/>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t xml:space="preserve">5. SUBJECT RETENTION &amp; COMBINATION CONSTRAINTS</w:t>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5.1 Subjects and core streams chosen during the 1st year remain permanently locked throughout the entire graduation cycle (3 years) and cannot be changed under any later circumstances. A brief change-of-subject request window is opened only once immediately after the full admission process concludes.</w:t>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5.2 Students who have not studied Mathematics during their 12th Senior Secondary phase are explicitly blocked from choosing Mathematics as an elective subject in B.A.</w:t>
      </w:r>
    </w:p>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5.3 Students selecting "Mudla Gyan / History and Culture of Punjab" as their compulsory subject cannot take Punjabi (Literature) as an elective. This option is strictly restricted to foreign nationals, wards of transferable Central Govt/Defense staff, or students who have not studied Punjabi up to the 10th (Matric) level.</w:t>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spacing w:after="240" w:lineRule="auto"/>
        <w:rPr/>
      </w:pPr>
      <w:r w:rsidDel="00000000" w:rsidR="00000000" w:rsidRPr="00000000">
        <w:rPr>
          <w:rtl w:val="0"/>
        </w:rPr>
      </w:r>
    </w:p>
    <w:p w:rsidR="00000000" w:rsidDel="00000000" w:rsidP="00000000" w:rsidRDefault="00000000" w:rsidRPr="00000000" w14:paraId="00000038">
      <w:pPr>
        <w:pStyle w:val="Heading3"/>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6. STATUTORY OVERRIDING AUTHORITY STATEMENT</w:t>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All college fee collection allocations and structural timelines are strictly provisional and subject to the formal validation of Panjab University, Chandigarh. The rolling rules, circulars, and notifications issued by </w:t>
      </w:r>
      <w:r w:rsidDel="00000000" w:rsidR="00000000" w:rsidRPr="00000000">
        <w:rPr>
          <w:b w:val="1"/>
          <w:bCs w:val="1"/>
          <w:rtl w:val="0"/>
        </w:rPr>
        <w:t xml:space="preserve">Panjab University</w:t>
      </w:r>
      <w:r w:rsidDel="00000000" w:rsidR="00000000" w:rsidRPr="00000000">
        <w:rPr>
          <w:rtl w:val="0"/>
        </w:rPr>
        <w:t xml:space="preserve"> and the </w:t>
      </w:r>
      <w:r w:rsidDel="00000000" w:rsidR="00000000" w:rsidRPr="00000000">
        <w:rPr>
          <w:b w:val="1"/>
          <w:bCs w:val="1"/>
          <w:rtl w:val="0"/>
        </w:rPr>
        <w:t xml:space="preserve">Government of Punjab</w:t>
      </w:r>
      <w:r w:rsidDel="00000000" w:rsidR="00000000" w:rsidRPr="00000000">
        <w:rPr>
          <w:rtl w:val="0"/>
        </w:rPr>
        <w:t xml:space="preserve"> hold an absolute overriding effect over the prospectus text. In case of any dispute or conflict regarding rule interpretations, the final administrative decision of the Principal stands absolute.</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