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GOVIND NATIONAL COLLEGE, NARANGWAL (LUDHIANA)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IQAC STRATEGIC PLAN &amp; ROADMAP (2025-2030)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Rule="auto"/>
        <w:rPr/>
      </w:pPr>
      <w:r w:rsidDel="00000000" w:rsidR="00000000" w:rsidRPr="00000000">
        <w:rPr>
          <w:rtl w:val="0"/>
        </w:rPr>
        <w:t xml:space="preserve">PERSPECTIVE DEVELOPMENT &amp; QUALITY DEPLOYMENT BLUEPRINT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1. ACADEMIC EXCELLENCE &amp; CURRICULUM UPGRADATION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1.1 Strengthen ICT-enabled teaching methodologies across all 13 core streams, emphasizing IT pathways like BCA, PGDCA, and professional Physical Education tracks (M.P.Ed, B.P.Ed).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tl w:val="0"/>
        </w:rPr>
        <w:t xml:space="preserve">1.2 Expand multi-disciplinary certification programs under the National Education Policy (NEP) guidelines, offering skill-centric add-on modules through the Vocational Studies departments.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2. RESEARCH, INNOVATION &amp; INFRASTRUCTURAL SCALING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2.1 Establish advanced computer application and sports physiology laboratories equipped with contemporary monitoring technologies to improve empirical data extraction for post-graduate students.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tl w:val="0"/>
        </w:rPr>
        <w:t xml:space="preserve">2.2 incentivize faculty members to secure research fellowships, compile indexed journal publications, and spearhead regional academic workshops supported by university bodies.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3. COMMUNITY DEVELOPMENT &amp; SPORTS HUB PROJECTION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3.1 Capitalize on the institution's historic footprint to organize rural outreach tracks, physical health camps, and structured athletic coaching programs benefiting local communities.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/>
      </w:pPr>
      <w:r w:rsidDel="00000000" w:rsidR="00000000" w:rsidRPr="00000000">
        <w:rPr>
          <w:rtl w:val="0"/>
        </w:rPr>
        <w:t xml:space="preserve">3.2 Upgrade playground tracks, indoor gymnasiums, and training infrastructure in compliance with NCTE norms to retain the college's standing as a premier incubator for regional sports talent.</w:t>
      </w:r>
    </w:p>
    <w:tbl>
      <w:tblPr>
        <w:tblStyle w:val="Table1"/>
        <w:tblW w:w="9360.0" w:type="dxa"/>
        <w:jc w:val="left"/>
        <w:tblBorders>
          <w:top w:color="cbd5e1" w:space="0" w:sz="6" w:val="single"/>
          <w:left w:color="cbd5e1" w:space="0" w:sz="6" w:val="single"/>
          <w:bottom w:color="cbd5e1" w:space="0" w:sz="6" w:val="single"/>
          <w:right w:color="cbd5e1" w:space="0" w:sz="6" w:val="single"/>
          <w:insideH w:color="cbd5e1" w:space="0" w:sz="6" w:val="single"/>
          <w:insideV w:color="cbd5e1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1"/>
        </w:trPr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Strategic Milestone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Implementation Phase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Accountable Department / Cell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Smart Classroom Infrastructure Conversion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Phase I (2025-2026)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IT &amp; Computer Science Faculty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Sports Lab Infrastructure Upgrade (NCTE Standards)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Phase I &amp; II (2025-2027)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Physical Education Department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Rural Skill Hub Integration Projects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Phase II (2026-2028)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B.Voc Automobile &amp; Retail Wings</w:t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NAAC Cycle Assessment Sequence Preparation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Continuous (2025-2030)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IQAC Steering Committee</w:t>
            </w:r>
          </w:p>
        </w:tc>
      </w:tr>
    </w:tbl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hd w:fill="auto" w:val="clear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