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GOVIND NATIONAL COLLEGE, NARANGWAL (LUDHIANA)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SELF-STUDY REPORT (SSR) EXECUTIVE COMPENDIUM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NAAC EVALUATION METRICS SUMMARY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tl w:val="0"/>
        </w:rPr>
        <w:t xml:space="preserve">This document acts as an open-access institutional database overview containing core documentation frameworks submitted for the institutional NAAC Self-Study Report sequence.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CRITERION I: CURRICULAR ASPECTS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tl w:val="0"/>
        </w:rPr>
        <w:t xml:space="preserve">The college guarantees strict curriculum implementation aligned with the instructional templates provided by Panjab University, Chandigarh. Cross-cutting issues related to gender, environment, and occupational ethics are directly integrated into B.A., B.Com., and B.Voc studies via designated course chapters.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CRITERION II: TEACHING-LEARNING AND EVALUATION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tl w:val="0"/>
        </w:rPr>
        <w:t xml:space="preserve">Student admissions strictly fulfill state and university roster parameters. Student-centric approaches including group discussions, analytical lab works, and project assignments characterize the daily educational ecosystem. Internal evaluations are handled with total transparency through the mid-term House Examinations framework.</w:t>
      </w:r>
    </w:p>
    <w:p w:rsidR="00000000" w:rsidDel="00000000" w:rsidP="00000000" w:rsidRDefault="00000000" w:rsidRPr="00000000" w14:paraId="0000000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CRITERION III: RESEARCH, INNOVATIONS AND EXTENSION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tl w:val="0"/>
        </w:rPr>
        <w:t xml:space="preserve">The institutional extension footprint spans multi-pronged initiatives managed via National Service Scheme (NSS), Red Ribbon clubs, and Physical Education modules. Neighborhood networks emphasize social responsibility and health awareness campaigns across the rural clusters of Narangwal.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CRITERION IV: INFRASTRUCTURE AND LEARNING RESOURCES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/>
      </w:pPr>
      <w:r w:rsidDel="00000000" w:rsidR="00000000" w:rsidRPr="00000000">
        <w:rPr>
          <w:rtl w:val="0"/>
        </w:rPr>
        <w:t xml:space="preserve">The college boasts massive infrastructural assets featuring smart lecture theatres, technical computer setups, a automated library module, specialized physical testing centers, and expansive track environments optimized for state-level sports incubation.</w:t>
      </w:r>
    </w:p>
    <w:tbl>
      <w:tblPr>
        <w:tblStyle w:val="Table1"/>
        <w:tblW w:w="9360.0" w:type="dxa"/>
        <w:jc w:val="left"/>
        <w:tblBorders>
          <w:top w:color="cbd5e1" w:space="0" w:sz="6" w:val="single"/>
          <w:left w:color="cbd5e1" w:space="0" w:sz="6" w:val="single"/>
          <w:bottom w:color="cbd5e1" w:space="0" w:sz="6" w:val="single"/>
          <w:right w:color="cbd5e1" w:space="0" w:sz="6" w:val="single"/>
          <w:insideH w:color="cbd5e1" w:space="0" w:sz="6" w:val="single"/>
          <w:insideV w:color="cbd5e1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NAAC Quality Criterion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Key Institutional Asset Evaluated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Compliance Validation Status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Criterion V: Student Support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Scholarship Disbursals &amp; Alumni Progress Tracking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Fully Cataloged &amp; Verified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Criterion VI: Governance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IQAC Operations &amp; Strategic Plan Implementation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Active Monitoring Node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Criterion VII: Institutional Values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Green Energy Adaptations &amp; Regional Best Practices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Eco-Campus Audited</w:t>
            </w:r>
          </w:p>
        </w:tc>
      </w:tr>
    </w:tbl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